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941AD8" w14:textId="77777777" w:rsidR="00C53E0F" w:rsidRDefault="002520A7">
      <w:pPr>
        <w:spacing w:after="23" w:line="259" w:lineRule="auto"/>
        <w:ind w:left="0" w:right="4540" w:firstLine="0"/>
      </w:pPr>
      <w:r>
        <w:rPr>
          <w:rFonts w:ascii="Verdana" w:eastAsia="Verdana" w:hAnsi="Verdana" w:cs="Verdana"/>
          <w:b/>
          <w:sz w:val="20"/>
        </w:rPr>
        <w:t xml:space="preserve"> </w:t>
      </w:r>
    </w:p>
    <w:p w14:paraId="6CD6A1C3" w14:textId="77777777" w:rsidR="005E5714" w:rsidRPr="005E5714" w:rsidRDefault="002520A7" w:rsidP="005E5714">
      <w:pPr>
        <w:keepNext/>
        <w:jc w:val="center"/>
        <w:outlineLvl w:val="1"/>
        <w:rPr>
          <w:rFonts w:eastAsia="Times New Roman" w:cs="Times New Roman"/>
          <w:b/>
          <w:noProof/>
          <w:color w:val="auto"/>
          <w:sz w:val="22"/>
          <w:szCs w:val="20"/>
        </w:rPr>
      </w:pPr>
      <w:r>
        <w:rPr>
          <w:rFonts w:ascii="Verdana" w:eastAsia="Verdana" w:hAnsi="Verdana" w:cs="Verdana"/>
          <w:sz w:val="32"/>
        </w:rPr>
        <w:t xml:space="preserve"> </w:t>
      </w:r>
    </w:p>
    <w:p w14:paraId="0108B91E"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r w:rsidRPr="005E5714">
        <w:rPr>
          <w:rFonts w:ascii="Times New Roman" w:eastAsia="Times New Roman" w:hAnsi="Times New Roman" w:cs="Times New Roman"/>
          <w:b/>
          <w:noProof/>
          <w:color w:val="auto"/>
          <w:szCs w:val="20"/>
        </w:rPr>
        <w:drawing>
          <wp:inline distT="0" distB="0" distL="0" distR="0" wp14:anchorId="3E408214" wp14:editId="4BCAFCED">
            <wp:extent cx="152400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409700"/>
                    </a:xfrm>
                    <a:prstGeom prst="rect">
                      <a:avLst/>
                    </a:prstGeom>
                    <a:noFill/>
                    <a:ln>
                      <a:noFill/>
                    </a:ln>
                  </pic:spPr>
                </pic:pic>
              </a:graphicData>
            </a:graphic>
          </wp:inline>
        </w:drawing>
      </w:r>
    </w:p>
    <w:p w14:paraId="46B2705E"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468D9007"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3FDB4598"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5A09A505" w14:textId="77777777" w:rsidR="005E5714" w:rsidRPr="005E5714" w:rsidRDefault="005E5714" w:rsidP="005E5714">
      <w:pPr>
        <w:keepNext/>
        <w:spacing w:after="0" w:line="240" w:lineRule="auto"/>
        <w:ind w:left="0" w:firstLine="0"/>
        <w:jc w:val="center"/>
        <w:outlineLvl w:val="1"/>
        <w:rPr>
          <w:rFonts w:eastAsia="Times New Roman" w:cs="Times New Roman"/>
          <w:b/>
          <w:color w:val="auto"/>
          <w:sz w:val="56"/>
          <w:szCs w:val="20"/>
          <w:lang w:val="en-US" w:eastAsia="en-US"/>
        </w:rPr>
      </w:pPr>
    </w:p>
    <w:p w14:paraId="3F0C91A0" w14:textId="3C8C9B8B" w:rsidR="005E5714" w:rsidRPr="005E5714" w:rsidRDefault="00CE54EF" w:rsidP="005E5714">
      <w:pPr>
        <w:keepNext/>
        <w:spacing w:after="0" w:line="240" w:lineRule="auto"/>
        <w:ind w:left="0" w:firstLine="0"/>
        <w:jc w:val="center"/>
        <w:outlineLvl w:val="1"/>
        <w:rPr>
          <w:rFonts w:eastAsia="Times New Roman" w:cs="Times New Roman"/>
          <w:b/>
          <w:color w:val="auto"/>
          <w:sz w:val="56"/>
          <w:szCs w:val="20"/>
          <w:lang w:val="en-US" w:eastAsia="en-US"/>
        </w:rPr>
      </w:pPr>
      <w:r>
        <w:rPr>
          <w:rFonts w:eastAsia="Times New Roman" w:cs="Times New Roman"/>
          <w:b/>
          <w:color w:val="auto"/>
          <w:sz w:val="56"/>
          <w:szCs w:val="20"/>
          <w:lang w:val="en-US" w:eastAsia="en-US"/>
        </w:rPr>
        <w:t>Community Cohesion</w:t>
      </w:r>
      <w:r w:rsidR="00D43C76">
        <w:rPr>
          <w:rFonts w:eastAsia="Times New Roman" w:cs="Times New Roman"/>
          <w:b/>
          <w:color w:val="auto"/>
          <w:sz w:val="56"/>
          <w:szCs w:val="20"/>
          <w:lang w:val="en-US" w:eastAsia="en-US"/>
        </w:rPr>
        <w:t xml:space="preserve"> </w:t>
      </w:r>
      <w:r w:rsidR="00304A49">
        <w:rPr>
          <w:rFonts w:eastAsia="Times New Roman" w:cs="Times New Roman"/>
          <w:b/>
          <w:color w:val="auto"/>
          <w:sz w:val="56"/>
          <w:szCs w:val="20"/>
          <w:lang w:val="en-US" w:eastAsia="en-US"/>
        </w:rPr>
        <w:t>Policy</w:t>
      </w:r>
    </w:p>
    <w:p w14:paraId="603B74AD" w14:textId="77777777" w:rsidR="005E5714" w:rsidRPr="005E5714" w:rsidRDefault="005E5714" w:rsidP="005E5714">
      <w:pPr>
        <w:spacing w:after="0" w:line="240" w:lineRule="auto"/>
        <w:ind w:left="0" w:firstLine="0"/>
        <w:jc w:val="center"/>
        <w:rPr>
          <w:rFonts w:eastAsia="Times New Roman" w:cs="Arial"/>
          <w:color w:val="auto"/>
          <w:sz w:val="22"/>
          <w:szCs w:val="24"/>
          <w:lang w:val="en-US" w:eastAsia="en-US"/>
        </w:rPr>
      </w:pPr>
    </w:p>
    <w:p w14:paraId="63F7EA9C" w14:textId="77777777" w:rsidR="005E5714" w:rsidRPr="005E5714" w:rsidRDefault="005E5714" w:rsidP="005E5714">
      <w:pPr>
        <w:spacing w:after="0" w:line="240" w:lineRule="auto"/>
        <w:ind w:left="0" w:firstLine="0"/>
        <w:jc w:val="center"/>
        <w:rPr>
          <w:rFonts w:eastAsia="Times New Roman" w:cs="Arial"/>
          <w:color w:val="auto"/>
          <w:sz w:val="22"/>
          <w:szCs w:val="24"/>
          <w:lang w:val="en-US" w:eastAsia="en-US"/>
        </w:rPr>
      </w:pPr>
    </w:p>
    <w:p w14:paraId="38F053BD" w14:textId="77777777" w:rsidR="005E5714" w:rsidRPr="005E5714" w:rsidRDefault="005E5714" w:rsidP="005E5714">
      <w:pPr>
        <w:spacing w:after="0" w:line="240" w:lineRule="auto"/>
        <w:ind w:left="0" w:firstLine="0"/>
        <w:jc w:val="center"/>
        <w:rPr>
          <w:rFonts w:eastAsia="Times New Roman" w:cs="Arial"/>
          <w:color w:val="auto"/>
          <w:sz w:val="22"/>
          <w:szCs w:val="24"/>
          <w:lang w:val="en-US" w:eastAsia="en-US"/>
        </w:rPr>
      </w:pPr>
    </w:p>
    <w:p w14:paraId="76C9572B"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roofErr w:type="spellStart"/>
      <w:r w:rsidRPr="005E5714">
        <w:rPr>
          <w:rFonts w:eastAsia="Times New Roman" w:cs="Arial"/>
          <w:color w:val="auto"/>
          <w:sz w:val="48"/>
          <w:szCs w:val="24"/>
          <w:lang w:val="en-US" w:eastAsia="en-US"/>
        </w:rPr>
        <w:t>Isleham</w:t>
      </w:r>
      <w:proofErr w:type="spellEnd"/>
      <w:r w:rsidRPr="005E5714">
        <w:rPr>
          <w:rFonts w:eastAsia="Times New Roman" w:cs="Arial"/>
          <w:color w:val="auto"/>
          <w:sz w:val="48"/>
          <w:szCs w:val="24"/>
          <w:lang w:val="en-US" w:eastAsia="en-US"/>
        </w:rPr>
        <w:t xml:space="preserve"> Church of England Primary School</w:t>
      </w:r>
    </w:p>
    <w:p w14:paraId="252200D6"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2486E118"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657616E8"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7E599D2A" w14:textId="77777777" w:rsidR="005E5714" w:rsidRPr="005E5714" w:rsidRDefault="005E5714" w:rsidP="005E5714">
      <w:pPr>
        <w:spacing w:after="0" w:line="240" w:lineRule="auto"/>
        <w:ind w:left="0" w:firstLine="0"/>
        <w:jc w:val="center"/>
        <w:rPr>
          <w:rFonts w:eastAsia="Times New Roman" w:cs="Arial"/>
          <w:color w:val="auto"/>
          <w:sz w:val="48"/>
          <w:szCs w:val="24"/>
          <w:lang w:val="en-US" w:eastAsia="en-US"/>
        </w:rPr>
      </w:pPr>
    </w:p>
    <w:p w14:paraId="4EEF611F" w14:textId="77777777" w:rsidR="005E5714" w:rsidRPr="005E5714" w:rsidRDefault="002520A7" w:rsidP="005E5714">
      <w:pPr>
        <w:spacing w:after="0" w:line="240" w:lineRule="auto"/>
        <w:ind w:left="0" w:firstLine="0"/>
        <w:jc w:val="center"/>
        <w:rPr>
          <w:rFonts w:eastAsia="Times New Roman" w:cs="Arial"/>
          <w:color w:val="auto"/>
          <w:sz w:val="36"/>
          <w:szCs w:val="24"/>
          <w:lang w:val="en-US" w:eastAsia="en-US"/>
        </w:rPr>
      </w:pPr>
      <w:r>
        <w:rPr>
          <w:rFonts w:eastAsia="Times New Roman" w:cs="Arial"/>
          <w:color w:val="auto"/>
          <w:sz w:val="36"/>
          <w:szCs w:val="24"/>
          <w:lang w:val="en-US" w:eastAsia="en-US"/>
        </w:rPr>
        <w:t>September 201</w:t>
      </w:r>
      <w:r w:rsidR="00D43C76">
        <w:rPr>
          <w:rFonts w:eastAsia="Times New Roman" w:cs="Arial"/>
          <w:color w:val="auto"/>
          <w:sz w:val="36"/>
          <w:szCs w:val="24"/>
          <w:lang w:val="en-US" w:eastAsia="en-US"/>
        </w:rPr>
        <w:t>9</w:t>
      </w:r>
    </w:p>
    <w:p w14:paraId="506DCEAF" w14:textId="77777777" w:rsidR="005E5714" w:rsidRPr="005E5714" w:rsidRDefault="005E5714" w:rsidP="005E5714">
      <w:pPr>
        <w:spacing w:after="0" w:line="240" w:lineRule="auto"/>
        <w:ind w:left="0" w:firstLine="0"/>
        <w:rPr>
          <w:rFonts w:eastAsia="Times New Roman" w:cs="Times New Roman"/>
          <w:b/>
          <w:color w:val="auto"/>
          <w:sz w:val="22"/>
          <w:szCs w:val="20"/>
        </w:rPr>
      </w:pPr>
    </w:p>
    <w:p w14:paraId="1F9EE30C" w14:textId="77777777" w:rsidR="00C53E0F" w:rsidRDefault="00C53E0F">
      <w:pPr>
        <w:spacing w:after="0" w:line="259" w:lineRule="auto"/>
        <w:ind w:left="116" w:firstLine="0"/>
        <w:jc w:val="center"/>
      </w:pPr>
    </w:p>
    <w:p w14:paraId="2D79042C" w14:textId="77777777" w:rsidR="002520A7" w:rsidRDefault="002520A7">
      <w:pPr>
        <w:spacing w:after="160" w:line="259" w:lineRule="auto"/>
        <w:ind w:left="0" w:firstLine="0"/>
        <w:rPr>
          <w:rFonts w:ascii="Verdana" w:eastAsia="Verdana" w:hAnsi="Verdana" w:cs="Verdana"/>
          <w:sz w:val="32"/>
        </w:rPr>
      </w:pPr>
      <w:r>
        <w:rPr>
          <w:rFonts w:ascii="Verdana" w:eastAsia="Verdana" w:hAnsi="Verdana" w:cs="Verdana"/>
          <w:sz w:val="32"/>
        </w:rPr>
        <w:br w:type="page"/>
      </w:r>
    </w:p>
    <w:p w14:paraId="16A1EA66" w14:textId="77777777" w:rsidR="00C53E0F" w:rsidRPr="002520A7" w:rsidRDefault="00C53E0F">
      <w:pPr>
        <w:spacing w:after="0" w:line="259" w:lineRule="auto"/>
        <w:ind w:left="0" w:firstLine="0"/>
        <w:rPr>
          <w:rFonts w:asciiTheme="minorHAnsi" w:hAnsiTheme="minorHAnsi" w:cstheme="minorHAnsi"/>
          <w:sz w:val="22"/>
        </w:rPr>
      </w:pPr>
    </w:p>
    <w:p w14:paraId="15FB2B0F" w14:textId="3D82EDEE" w:rsidR="003764A8" w:rsidRPr="003764A8" w:rsidRDefault="003764A8" w:rsidP="003764A8">
      <w:pPr>
        <w:pStyle w:val="Default"/>
        <w:rPr>
          <w:rFonts w:asciiTheme="minorHAnsi" w:hAnsiTheme="minorHAnsi"/>
          <w:sz w:val="22"/>
          <w:szCs w:val="22"/>
        </w:rPr>
      </w:pPr>
      <w:r w:rsidRPr="003764A8">
        <w:rPr>
          <w:rFonts w:asciiTheme="minorHAnsi" w:hAnsiTheme="minorHAnsi"/>
          <w:b/>
          <w:sz w:val="22"/>
          <w:szCs w:val="22"/>
        </w:rPr>
        <w:t>1.</w:t>
      </w:r>
      <w:r w:rsidR="00CE54EF" w:rsidRPr="003764A8">
        <w:rPr>
          <w:rFonts w:asciiTheme="minorHAnsi" w:hAnsiTheme="minorHAnsi"/>
          <w:b/>
          <w:sz w:val="22"/>
          <w:szCs w:val="22"/>
        </w:rPr>
        <w:t>Introduction</w:t>
      </w:r>
      <w:r w:rsidR="00CE54EF" w:rsidRPr="003764A8">
        <w:rPr>
          <w:rFonts w:asciiTheme="minorHAnsi" w:hAnsiTheme="minorHAnsi"/>
          <w:sz w:val="22"/>
          <w:szCs w:val="22"/>
        </w:rPr>
        <w:t xml:space="preserve"> </w:t>
      </w:r>
      <w:r w:rsidRPr="003764A8">
        <w:rPr>
          <w:rFonts w:asciiTheme="minorHAnsi" w:hAnsiTheme="minorHAnsi"/>
          <w:sz w:val="22"/>
          <w:szCs w:val="22"/>
        </w:rPr>
        <w:br/>
      </w:r>
      <w:r w:rsidR="00CE54EF" w:rsidRPr="003764A8">
        <w:rPr>
          <w:rFonts w:asciiTheme="minorHAnsi" w:hAnsiTheme="minorHAnsi"/>
          <w:sz w:val="22"/>
          <w:szCs w:val="22"/>
        </w:rPr>
        <w:t xml:space="preserve">All schools are under a duty to promote community cohesion. At </w:t>
      </w:r>
      <w:proofErr w:type="spellStart"/>
      <w:r>
        <w:rPr>
          <w:rFonts w:asciiTheme="minorHAnsi" w:hAnsiTheme="minorHAnsi"/>
          <w:sz w:val="22"/>
          <w:szCs w:val="22"/>
        </w:rPr>
        <w:t>Isleham</w:t>
      </w:r>
      <w:proofErr w:type="spellEnd"/>
      <w:r w:rsidR="00CE54EF" w:rsidRPr="003764A8">
        <w:rPr>
          <w:rFonts w:asciiTheme="minorHAnsi" w:hAnsiTheme="minorHAnsi"/>
          <w:sz w:val="22"/>
          <w:szCs w:val="22"/>
        </w:rPr>
        <w:t xml:space="preserve"> C</w:t>
      </w:r>
      <w:r>
        <w:rPr>
          <w:rFonts w:asciiTheme="minorHAnsi" w:hAnsiTheme="minorHAnsi"/>
          <w:sz w:val="22"/>
          <w:szCs w:val="22"/>
        </w:rPr>
        <w:t xml:space="preserve"> of </w:t>
      </w:r>
      <w:r w:rsidR="00CE54EF" w:rsidRPr="003764A8">
        <w:rPr>
          <w:rFonts w:asciiTheme="minorHAnsi" w:hAnsiTheme="minorHAnsi"/>
          <w:sz w:val="22"/>
          <w:szCs w:val="22"/>
        </w:rPr>
        <w:t xml:space="preserve">E Primary School, we consider this a fundamental part of our role and work in ways to promote community cohesion. This statement also supports our commitment to equality and diversity. </w:t>
      </w:r>
    </w:p>
    <w:p w14:paraId="3D54040A" w14:textId="77777777" w:rsidR="003764A8" w:rsidRPr="003764A8" w:rsidRDefault="003764A8" w:rsidP="003764A8">
      <w:pPr>
        <w:pStyle w:val="Default"/>
        <w:rPr>
          <w:rFonts w:asciiTheme="minorHAnsi" w:hAnsiTheme="minorHAnsi"/>
          <w:sz w:val="22"/>
          <w:szCs w:val="22"/>
        </w:rPr>
      </w:pPr>
    </w:p>
    <w:p w14:paraId="344CBD5A" w14:textId="39DAC4BD" w:rsidR="003764A8" w:rsidRPr="003764A8" w:rsidRDefault="003764A8" w:rsidP="00D43C76">
      <w:pPr>
        <w:pStyle w:val="Default"/>
        <w:rPr>
          <w:rFonts w:asciiTheme="minorHAnsi" w:hAnsiTheme="minorHAnsi"/>
          <w:sz w:val="22"/>
          <w:szCs w:val="22"/>
        </w:rPr>
      </w:pPr>
      <w:r>
        <w:rPr>
          <w:noProof/>
        </w:rPr>
        <mc:AlternateContent>
          <mc:Choice Requires="wps">
            <w:drawing>
              <wp:anchor distT="0" distB="0" distL="114300" distR="114300" simplePos="0" relativeHeight="251659264" behindDoc="0" locked="0" layoutInCell="1" allowOverlap="1" wp14:anchorId="18BA4886" wp14:editId="3D7D098E">
                <wp:simplePos x="0" y="0"/>
                <wp:positionH relativeFrom="column">
                  <wp:posOffset>0</wp:posOffset>
                </wp:positionH>
                <wp:positionV relativeFrom="paragraph">
                  <wp:posOffset>0</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1B7F640" w14:textId="00E4745E" w:rsidR="003764A8" w:rsidRPr="003764A8" w:rsidRDefault="003764A8" w:rsidP="003764A8">
                            <w:pPr>
                              <w:pStyle w:val="Default"/>
                              <w:jc w:val="center"/>
                              <w:rPr>
                                <w:sz w:val="22"/>
                              </w:rPr>
                            </w:pPr>
                            <w:r w:rsidRPr="003764A8">
                              <w:rPr>
                                <w:rFonts w:asciiTheme="minorHAnsi" w:hAnsiTheme="minorHAnsi"/>
                                <w:i/>
                                <w:sz w:val="22"/>
                                <w:szCs w:val="22"/>
                              </w:rPr>
                              <w:t>‘Education is the best antidote to prejudice’</w:t>
                            </w:r>
                            <w:r w:rsidRPr="003764A8">
                              <w:rPr>
                                <w:rFonts w:asciiTheme="minorHAnsi" w:hAnsiTheme="minorHAnsi"/>
                                <w:sz w:val="22"/>
                                <w:szCs w:val="22"/>
                              </w:rPr>
                              <w:t xml:space="preserve"> </w:t>
                            </w:r>
                            <w:r w:rsidRPr="003764A8">
                              <w:rPr>
                                <w:rFonts w:asciiTheme="minorHAnsi" w:hAnsiTheme="minorHAnsi"/>
                                <w:sz w:val="20"/>
                                <w:szCs w:val="22"/>
                              </w:rPr>
                              <w:br/>
                              <w:t>(Professor Ted Cantle)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8BA4886" id="_x0000_t202" coordsize="21600,21600" o:spt="202" path="m,l,21600r21600,l21600,xe">
                <v:stroke joinstyle="miter"/>
                <v:path gradientshapeok="t" o:connecttype="rect"/>
              </v:shapetype>
              <v:shape id="Text Box 2"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WIOgIAAHg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AGgUt1S9ogGO9gPkrbxpkfdW+PAgHCYGhWELwj2OWhMeQweJs4bc&#10;r7/ZIx5EwstZjwksucGKcKa/GxB8OT07iwOblLPzLwUUd+rZnnrMS7cm1DfFtlmZxIgPehRrR90T&#10;VmUV74RLGImbSx5GcR32W4FVk2q1SiCMqBXh1mysjKnHbj4OT8LZA0sBBN/ROKli/o6sPTZGert6&#10;CaAsMfnW00PXMd6JlMMqxv051RPq7Yex/A0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BEy9Yg6AgAAeAQAAA4AAAAAAAAAAAAAAAAA&#10;LgIAAGRycy9lMm9Eb2MueG1sUEsBAi0AFAAGAAgAAAAhALcMAwjXAAAABQEAAA8AAAAAAAAAAAAA&#10;AAAAlAQAAGRycy9kb3ducmV2LnhtbFBLBQYAAAAABAAEAPMAAACYBQAAAAA=&#10;" filled="f" strokeweight=".5pt">
                <v:textbox style="mso-fit-shape-to-text:t">
                  <w:txbxContent>
                    <w:p w14:paraId="41B7F640" w14:textId="00E4745E" w:rsidR="003764A8" w:rsidRPr="003764A8" w:rsidRDefault="003764A8" w:rsidP="003764A8">
                      <w:pPr>
                        <w:pStyle w:val="Default"/>
                        <w:jc w:val="center"/>
                        <w:rPr>
                          <w:sz w:val="22"/>
                        </w:rPr>
                      </w:pPr>
                      <w:r w:rsidRPr="003764A8">
                        <w:rPr>
                          <w:rFonts w:asciiTheme="minorHAnsi" w:hAnsiTheme="minorHAnsi"/>
                          <w:i/>
                          <w:sz w:val="22"/>
                          <w:szCs w:val="22"/>
                        </w:rPr>
                        <w:t>‘Education is the best antidote to prejudice’</w:t>
                      </w:r>
                      <w:r w:rsidRPr="003764A8">
                        <w:rPr>
                          <w:rFonts w:asciiTheme="minorHAnsi" w:hAnsiTheme="minorHAnsi"/>
                          <w:sz w:val="22"/>
                          <w:szCs w:val="22"/>
                        </w:rPr>
                        <w:t xml:space="preserve"> </w:t>
                      </w:r>
                      <w:r w:rsidRPr="003764A8">
                        <w:rPr>
                          <w:rFonts w:asciiTheme="minorHAnsi" w:hAnsiTheme="minorHAnsi"/>
                          <w:sz w:val="20"/>
                          <w:szCs w:val="22"/>
                        </w:rPr>
                        <w:br/>
                        <w:t>(Professor Ted Cantle)</w:t>
                      </w:r>
                    </w:p>
                  </w:txbxContent>
                </v:textbox>
                <w10:wrap type="square"/>
              </v:shape>
            </w:pict>
          </mc:Fallback>
        </mc:AlternateContent>
      </w:r>
    </w:p>
    <w:p w14:paraId="13823EB1" w14:textId="1062A411" w:rsidR="003764A8" w:rsidRPr="003764A8" w:rsidRDefault="00CE54EF" w:rsidP="00D43C76">
      <w:pPr>
        <w:pStyle w:val="Default"/>
        <w:rPr>
          <w:rFonts w:asciiTheme="minorHAnsi" w:hAnsiTheme="minorHAnsi"/>
          <w:sz w:val="22"/>
          <w:szCs w:val="22"/>
        </w:rPr>
      </w:pPr>
      <w:r w:rsidRPr="003764A8">
        <w:rPr>
          <w:rFonts w:asciiTheme="minorHAnsi" w:hAnsiTheme="minorHAnsi"/>
          <w:b/>
          <w:sz w:val="22"/>
          <w:szCs w:val="22"/>
        </w:rPr>
        <w:t>2. The School Context</w:t>
      </w:r>
      <w:r w:rsidRPr="003764A8">
        <w:rPr>
          <w:rFonts w:asciiTheme="minorHAnsi" w:hAnsiTheme="minorHAnsi"/>
          <w:sz w:val="22"/>
          <w:szCs w:val="22"/>
        </w:rPr>
        <w:t xml:space="preserve"> </w:t>
      </w:r>
      <w:r w:rsidR="003764A8" w:rsidRPr="003764A8">
        <w:rPr>
          <w:rFonts w:asciiTheme="minorHAnsi" w:hAnsiTheme="minorHAnsi"/>
          <w:sz w:val="22"/>
          <w:szCs w:val="22"/>
        </w:rPr>
        <w:br/>
      </w:r>
      <w:proofErr w:type="spellStart"/>
      <w:r w:rsidR="00592735">
        <w:rPr>
          <w:rFonts w:ascii="Calibri" w:hAnsi="Calibri"/>
          <w:sz w:val="22"/>
          <w:szCs w:val="22"/>
          <w:shd w:val="clear" w:color="auto" w:fill="FFFFFF"/>
        </w:rPr>
        <w:t>Isleham</w:t>
      </w:r>
      <w:proofErr w:type="spellEnd"/>
      <w:r w:rsidR="00592735">
        <w:rPr>
          <w:rFonts w:ascii="Calibri" w:hAnsi="Calibri"/>
          <w:sz w:val="22"/>
          <w:szCs w:val="22"/>
          <w:shd w:val="clear" w:color="auto" w:fill="FFFFFF"/>
        </w:rPr>
        <w:t xml:space="preserve"> C of E Primary School is a one-form entry school in the rural village of </w:t>
      </w:r>
      <w:proofErr w:type="spellStart"/>
      <w:r w:rsidR="00592735">
        <w:rPr>
          <w:rFonts w:ascii="Calibri" w:hAnsi="Calibri"/>
          <w:sz w:val="22"/>
          <w:szCs w:val="22"/>
          <w:shd w:val="clear" w:color="auto" w:fill="FFFFFF"/>
        </w:rPr>
        <w:t>Isleham</w:t>
      </w:r>
      <w:proofErr w:type="spellEnd"/>
      <w:r w:rsidR="00592735">
        <w:rPr>
          <w:rFonts w:ascii="Calibri" w:hAnsi="Calibri"/>
          <w:sz w:val="22"/>
          <w:szCs w:val="22"/>
          <w:shd w:val="clear" w:color="auto" w:fill="FFFFFF"/>
        </w:rPr>
        <w:t>, Cambridgeshire. The school currently consists of seven classes made up from 4 – 11 years old. The school has an annual PAN of 30 pupils with 201 pupils currently in school. We are a high achieving school and in March 2016 Ofsted judged us to be a ‘Good’ school. We also achieved the Outstanding judgement in all areas of the SIAMS inspection in April 2017. The children and families attending our school are mainly white British. Currently, there are just 3% of children from minority ethnic backgrounds, and 1% of families choose not to classify their child’s ethnic group. 1.5% of children have English as an additional language (EAL). Children receiving Pupil Premium funding or who are ‘looked after’/ children in care (CIC) make up 15% of current role. There is an almost equal number of girls and boys overall although individual cohorts vary.</w:t>
      </w:r>
      <w:bookmarkStart w:id="0" w:name="_GoBack"/>
      <w:bookmarkEnd w:id="0"/>
    </w:p>
    <w:p w14:paraId="09755E1A" w14:textId="77777777" w:rsidR="003764A8" w:rsidRPr="003764A8" w:rsidRDefault="003764A8" w:rsidP="00D43C76">
      <w:pPr>
        <w:pStyle w:val="Default"/>
        <w:rPr>
          <w:rFonts w:asciiTheme="minorHAnsi" w:hAnsiTheme="minorHAnsi"/>
          <w:sz w:val="22"/>
          <w:szCs w:val="22"/>
        </w:rPr>
      </w:pPr>
    </w:p>
    <w:p w14:paraId="56345558" w14:textId="77777777" w:rsidR="003764A8" w:rsidRDefault="00CE54EF" w:rsidP="003764A8">
      <w:pPr>
        <w:pStyle w:val="Default"/>
        <w:rPr>
          <w:rFonts w:asciiTheme="minorHAnsi" w:hAnsiTheme="minorHAnsi"/>
          <w:sz w:val="22"/>
          <w:szCs w:val="22"/>
        </w:rPr>
      </w:pPr>
      <w:r w:rsidRPr="003764A8">
        <w:rPr>
          <w:rFonts w:asciiTheme="minorHAnsi" w:hAnsiTheme="minorHAnsi"/>
          <w:b/>
          <w:sz w:val="22"/>
          <w:szCs w:val="22"/>
        </w:rPr>
        <w:t>3. Definition</w:t>
      </w:r>
      <w:r w:rsidRPr="003764A8">
        <w:rPr>
          <w:rFonts w:asciiTheme="minorHAnsi" w:hAnsiTheme="minorHAnsi"/>
          <w:sz w:val="22"/>
          <w:szCs w:val="22"/>
        </w:rPr>
        <w:t xml:space="preserve"> </w:t>
      </w:r>
      <w:r w:rsidR="003764A8">
        <w:rPr>
          <w:rFonts w:asciiTheme="minorHAnsi" w:hAnsiTheme="minorHAnsi"/>
          <w:sz w:val="22"/>
          <w:szCs w:val="22"/>
        </w:rPr>
        <w:br/>
      </w:r>
      <w:r w:rsidRPr="003764A8">
        <w:rPr>
          <w:rFonts w:asciiTheme="minorHAnsi" w:hAnsiTheme="minorHAnsi"/>
          <w:sz w:val="22"/>
          <w:szCs w:val="22"/>
        </w:rPr>
        <w:t xml:space="preserve">The term ‘community cohesion’ to us means working towards a society in which there is a common vision and sense of belonging by all communities; a society in which the diversity of people’s backgrounds and circumstances is appreciated and valued; a society in which similar life opportunities are available to all; and a society in which strong and positive relationships exist and continue to be developed in the workplace, in schools and in the wider community. At </w:t>
      </w:r>
      <w:proofErr w:type="spellStart"/>
      <w:r w:rsidR="003764A8">
        <w:rPr>
          <w:rFonts w:asciiTheme="minorHAnsi" w:hAnsiTheme="minorHAnsi"/>
          <w:sz w:val="22"/>
          <w:szCs w:val="22"/>
        </w:rPr>
        <w:t>Isleham</w:t>
      </w:r>
      <w:proofErr w:type="spellEnd"/>
      <w:r w:rsidRPr="003764A8">
        <w:rPr>
          <w:rFonts w:asciiTheme="minorHAnsi" w:hAnsiTheme="minorHAnsi"/>
          <w:sz w:val="22"/>
          <w:szCs w:val="22"/>
        </w:rPr>
        <w:t xml:space="preserve"> </w:t>
      </w:r>
      <w:r w:rsidR="003764A8">
        <w:rPr>
          <w:rFonts w:asciiTheme="minorHAnsi" w:hAnsiTheme="minorHAnsi"/>
          <w:sz w:val="22"/>
          <w:szCs w:val="22"/>
        </w:rPr>
        <w:t>C of E</w:t>
      </w:r>
      <w:r w:rsidRPr="003764A8">
        <w:rPr>
          <w:rFonts w:asciiTheme="minorHAnsi" w:hAnsiTheme="minorHAnsi"/>
          <w:sz w:val="22"/>
          <w:szCs w:val="22"/>
        </w:rPr>
        <w:t xml:space="preserve"> Primary School, the term ‘community’ has the following dimensions: </w:t>
      </w:r>
    </w:p>
    <w:p w14:paraId="78135CB0" w14:textId="77777777" w:rsidR="003764A8" w:rsidRDefault="00CE54EF" w:rsidP="003764A8">
      <w:pPr>
        <w:pStyle w:val="Default"/>
        <w:numPr>
          <w:ilvl w:val="0"/>
          <w:numId w:val="14"/>
        </w:numPr>
        <w:rPr>
          <w:rFonts w:asciiTheme="minorHAnsi" w:hAnsiTheme="minorHAnsi"/>
          <w:sz w:val="22"/>
          <w:szCs w:val="22"/>
        </w:rPr>
      </w:pPr>
      <w:r w:rsidRPr="003764A8">
        <w:rPr>
          <w:rFonts w:asciiTheme="minorHAnsi" w:hAnsiTheme="minorHAnsi"/>
          <w:sz w:val="22"/>
          <w:szCs w:val="22"/>
        </w:rPr>
        <w:t>Our school community – the children and young people it serves, their parents / carers and families, the school’s staff, governing body and community users of the school</w:t>
      </w:r>
      <w:r w:rsidR="003764A8">
        <w:rPr>
          <w:rFonts w:asciiTheme="minorHAnsi" w:hAnsiTheme="minorHAnsi"/>
          <w:sz w:val="22"/>
          <w:szCs w:val="22"/>
        </w:rPr>
        <w:t>’</w:t>
      </w:r>
      <w:r w:rsidRPr="003764A8">
        <w:rPr>
          <w:rFonts w:asciiTheme="minorHAnsi" w:hAnsiTheme="minorHAnsi"/>
          <w:sz w:val="22"/>
          <w:szCs w:val="22"/>
        </w:rPr>
        <w:t>s facilities and services.</w:t>
      </w:r>
    </w:p>
    <w:p w14:paraId="4A249F6E" w14:textId="77777777" w:rsidR="003764A8" w:rsidRDefault="00CE54EF" w:rsidP="003764A8">
      <w:pPr>
        <w:pStyle w:val="Default"/>
        <w:numPr>
          <w:ilvl w:val="0"/>
          <w:numId w:val="14"/>
        </w:numPr>
        <w:rPr>
          <w:rFonts w:asciiTheme="minorHAnsi" w:hAnsiTheme="minorHAnsi"/>
          <w:sz w:val="22"/>
          <w:szCs w:val="22"/>
        </w:rPr>
      </w:pPr>
      <w:r w:rsidRPr="003764A8">
        <w:rPr>
          <w:rFonts w:asciiTheme="minorHAnsi" w:hAnsiTheme="minorHAnsi"/>
          <w:sz w:val="22"/>
          <w:szCs w:val="22"/>
        </w:rPr>
        <w:t>The community within which our school is located – enriching the curriculum through visits and visitors, exploiting opportunities to work with other local schools, leading and supporting community events in the locality and utilising our buildings and resources for the benefit of the local community.</w:t>
      </w:r>
    </w:p>
    <w:p w14:paraId="390AD3BF" w14:textId="6058CFB1" w:rsidR="003764A8" w:rsidRDefault="00CE54EF" w:rsidP="003764A8">
      <w:pPr>
        <w:pStyle w:val="Default"/>
        <w:numPr>
          <w:ilvl w:val="0"/>
          <w:numId w:val="14"/>
        </w:numPr>
        <w:rPr>
          <w:rFonts w:asciiTheme="minorHAnsi" w:hAnsiTheme="minorHAnsi"/>
          <w:sz w:val="22"/>
          <w:szCs w:val="22"/>
        </w:rPr>
      </w:pPr>
      <w:r w:rsidRPr="003764A8">
        <w:rPr>
          <w:rFonts w:asciiTheme="minorHAnsi" w:hAnsiTheme="minorHAnsi"/>
          <w:sz w:val="22"/>
          <w:szCs w:val="22"/>
        </w:rPr>
        <w:t>The UK community – developing meaningful relationships with schools in other parts of the UK and enabling our pupils to build knowledge and understanding of the diversity of life in the UK</w:t>
      </w:r>
    </w:p>
    <w:p w14:paraId="2E257E36" w14:textId="77777777" w:rsidR="003764A8" w:rsidRDefault="003764A8" w:rsidP="003764A8">
      <w:pPr>
        <w:pStyle w:val="Default"/>
        <w:numPr>
          <w:ilvl w:val="0"/>
          <w:numId w:val="14"/>
        </w:numPr>
        <w:rPr>
          <w:rFonts w:asciiTheme="minorHAnsi" w:hAnsiTheme="minorHAnsi"/>
          <w:sz w:val="22"/>
          <w:szCs w:val="22"/>
        </w:rPr>
      </w:pPr>
      <w:r w:rsidRPr="003764A8">
        <w:rPr>
          <w:rFonts w:asciiTheme="minorHAnsi" w:hAnsiTheme="minorHAnsi"/>
          <w:sz w:val="22"/>
          <w:szCs w:val="22"/>
        </w:rPr>
        <w:t xml:space="preserve">The global community formed by EU and international links – enabling pupils to learn about and from different countries and cultures and developing links with schools in other countries. </w:t>
      </w:r>
    </w:p>
    <w:p w14:paraId="74F0C379" w14:textId="77777777" w:rsidR="003764A8" w:rsidRDefault="003764A8" w:rsidP="009859BA">
      <w:pPr>
        <w:pStyle w:val="Default"/>
        <w:ind w:left="720"/>
        <w:rPr>
          <w:rFonts w:asciiTheme="minorHAnsi" w:hAnsiTheme="minorHAnsi"/>
          <w:sz w:val="22"/>
          <w:szCs w:val="22"/>
        </w:rPr>
      </w:pPr>
    </w:p>
    <w:p w14:paraId="50DF6052" w14:textId="77777777" w:rsidR="009859BA" w:rsidRPr="009859BA" w:rsidRDefault="003764A8" w:rsidP="003764A8">
      <w:pPr>
        <w:pStyle w:val="Default"/>
        <w:rPr>
          <w:rFonts w:asciiTheme="minorHAnsi" w:hAnsiTheme="minorHAnsi"/>
          <w:b/>
          <w:sz w:val="22"/>
          <w:szCs w:val="22"/>
        </w:rPr>
      </w:pPr>
      <w:r w:rsidRPr="009859BA">
        <w:rPr>
          <w:rFonts w:asciiTheme="minorHAnsi" w:hAnsiTheme="minorHAnsi"/>
          <w:b/>
          <w:sz w:val="22"/>
          <w:szCs w:val="22"/>
        </w:rPr>
        <w:t xml:space="preserve">4. Aims </w:t>
      </w:r>
    </w:p>
    <w:p w14:paraId="36E652BB" w14:textId="77777777" w:rsidR="009859BA" w:rsidRDefault="003764A8" w:rsidP="003764A8">
      <w:pPr>
        <w:pStyle w:val="Default"/>
        <w:rPr>
          <w:rFonts w:asciiTheme="minorHAnsi" w:hAnsiTheme="minorHAnsi"/>
          <w:sz w:val="22"/>
          <w:szCs w:val="22"/>
        </w:rPr>
      </w:pPr>
      <w:r w:rsidRPr="003764A8">
        <w:rPr>
          <w:rFonts w:asciiTheme="minorHAnsi" w:hAnsiTheme="minorHAnsi"/>
          <w:sz w:val="22"/>
          <w:szCs w:val="22"/>
        </w:rPr>
        <w:t xml:space="preserve">Our school aims to contribute to community cohesion in the following ways: </w:t>
      </w:r>
    </w:p>
    <w:p w14:paraId="36E50EFA" w14:textId="77777777" w:rsidR="009859BA" w:rsidRDefault="003764A8" w:rsidP="009859BA">
      <w:pPr>
        <w:pStyle w:val="Default"/>
        <w:numPr>
          <w:ilvl w:val="0"/>
          <w:numId w:val="14"/>
        </w:numPr>
        <w:rPr>
          <w:rFonts w:asciiTheme="minorHAnsi" w:hAnsiTheme="minorHAnsi"/>
          <w:sz w:val="22"/>
          <w:szCs w:val="22"/>
        </w:rPr>
      </w:pPr>
      <w:r w:rsidRPr="003764A8">
        <w:rPr>
          <w:rFonts w:asciiTheme="minorHAnsi" w:hAnsiTheme="minorHAnsi"/>
          <w:sz w:val="22"/>
          <w:szCs w:val="22"/>
        </w:rPr>
        <w:t>To promote equality of opportunity (see Equalit</w:t>
      </w:r>
      <w:r w:rsidR="009859BA">
        <w:rPr>
          <w:rFonts w:asciiTheme="minorHAnsi" w:hAnsiTheme="minorHAnsi"/>
          <w:sz w:val="22"/>
          <w:szCs w:val="22"/>
        </w:rPr>
        <w:t>y &amp; Diversity</w:t>
      </w:r>
      <w:r w:rsidRPr="003764A8">
        <w:rPr>
          <w:rFonts w:asciiTheme="minorHAnsi" w:hAnsiTheme="minorHAnsi"/>
          <w:sz w:val="22"/>
          <w:szCs w:val="22"/>
        </w:rPr>
        <w:t xml:space="preserve"> Statement). </w:t>
      </w:r>
    </w:p>
    <w:p w14:paraId="020E3A4D" w14:textId="77777777" w:rsidR="009859BA" w:rsidRDefault="003764A8" w:rsidP="009859BA">
      <w:pPr>
        <w:pStyle w:val="Default"/>
        <w:numPr>
          <w:ilvl w:val="0"/>
          <w:numId w:val="14"/>
        </w:numPr>
        <w:rPr>
          <w:rFonts w:asciiTheme="minorHAnsi" w:hAnsiTheme="minorHAnsi"/>
          <w:sz w:val="22"/>
          <w:szCs w:val="22"/>
        </w:rPr>
      </w:pPr>
      <w:r w:rsidRPr="003764A8">
        <w:rPr>
          <w:rFonts w:asciiTheme="minorHAnsi" w:hAnsiTheme="minorHAnsi"/>
          <w:sz w:val="22"/>
          <w:szCs w:val="22"/>
        </w:rPr>
        <w:t>To understand and respond to the needs of the community and local context.</w:t>
      </w:r>
    </w:p>
    <w:p w14:paraId="1C5D8A35" w14:textId="77777777" w:rsidR="009859BA" w:rsidRDefault="003764A8" w:rsidP="009859BA">
      <w:pPr>
        <w:pStyle w:val="Default"/>
        <w:numPr>
          <w:ilvl w:val="0"/>
          <w:numId w:val="14"/>
        </w:numPr>
        <w:rPr>
          <w:rFonts w:asciiTheme="minorHAnsi" w:hAnsiTheme="minorHAnsi"/>
          <w:sz w:val="22"/>
          <w:szCs w:val="22"/>
        </w:rPr>
      </w:pPr>
      <w:r w:rsidRPr="003764A8">
        <w:rPr>
          <w:rFonts w:asciiTheme="minorHAnsi" w:hAnsiTheme="minorHAnsi"/>
          <w:sz w:val="22"/>
          <w:szCs w:val="22"/>
        </w:rPr>
        <w:t>To have high expectations of success raising achievement for all pupils removing barriers to access and participation.</w:t>
      </w:r>
    </w:p>
    <w:p w14:paraId="380BA06F" w14:textId="77777777" w:rsidR="009859BA" w:rsidRDefault="003764A8" w:rsidP="009859BA">
      <w:pPr>
        <w:pStyle w:val="Default"/>
        <w:numPr>
          <w:ilvl w:val="0"/>
          <w:numId w:val="14"/>
        </w:numPr>
        <w:rPr>
          <w:rFonts w:asciiTheme="minorHAnsi" w:hAnsiTheme="minorHAnsi"/>
          <w:sz w:val="22"/>
          <w:szCs w:val="22"/>
        </w:rPr>
      </w:pPr>
      <w:r w:rsidRPr="003764A8">
        <w:rPr>
          <w:rFonts w:asciiTheme="minorHAnsi" w:hAnsiTheme="minorHAnsi"/>
          <w:sz w:val="22"/>
          <w:szCs w:val="22"/>
        </w:rPr>
        <w:t>To raise awareness of faith, ethnicity, culture and socio-economic factors across the wider community.</w:t>
      </w:r>
    </w:p>
    <w:p w14:paraId="4960E0BA" w14:textId="77777777" w:rsidR="009859BA" w:rsidRDefault="003764A8" w:rsidP="009859BA">
      <w:pPr>
        <w:pStyle w:val="Default"/>
        <w:numPr>
          <w:ilvl w:val="0"/>
          <w:numId w:val="14"/>
        </w:numPr>
        <w:rPr>
          <w:rFonts w:asciiTheme="minorHAnsi" w:hAnsiTheme="minorHAnsi"/>
          <w:sz w:val="22"/>
          <w:szCs w:val="22"/>
        </w:rPr>
      </w:pPr>
      <w:r w:rsidRPr="003764A8">
        <w:rPr>
          <w:rFonts w:asciiTheme="minorHAnsi" w:hAnsiTheme="minorHAnsi"/>
          <w:sz w:val="22"/>
          <w:szCs w:val="22"/>
        </w:rPr>
        <w:t xml:space="preserve">To raise understanding of LGBT+. </w:t>
      </w:r>
    </w:p>
    <w:p w14:paraId="4563731D" w14:textId="77777777" w:rsidR="009859BA" w:rsidRDefault="009859BA" w:rsidP="009859BA">
      <w:pPr>
        <w:pStyle w:val="Default"/>
        <w:ind w:left="720"/>
        <w:rPr>
          <w:rFonts w:asciiTheme="minorHAnsi" w:hAnsiTheme="minorHAnsi"/>
          <w:sz w:val="22"/>
          <w:szCs w:val="22"/>
        </w:rPr>
      </w:pPr>
    </w:p>
    <w:p w14:paraId="7C348DB4" w14:textId="77777777" w:rsidR="009859BA" w:rsidRPr="009859BA" w:rsidRDefault="003764A8" w:rsidP="009859BA">
      <w:pPr>
        <w:pStyle w:val="Default"/>
        <w:rPr>
          <w:rFonts w:asciiTheme="minorHAnsi" w:hAnsiTheme="minorHAnsi"/>
          <w:b/>
          <w:sz w:val="22"/>
          <w:szCs w:val="22"/>
        </w:rPr>
      </w:pPr>
      <w:r w:rsidRPr="009859BA">
        <w:rPr>
          <w:rFonts w:asciiTheme="minorHAnsi" w:hAnsiTheme="minorHAnsi"/>
          <w:b/>
          <w:sz w:val="22"/>
          <w:szCs w:val="22"/>
        </w:rPr>
        <w:t xml:space="preserve">5. Teaching, Learning and the Curriculum </w:t>
      </w:r>
    </w:p>
    <w:p w14:paraId="52479E71" w14:textId="77777777" w:rsidR="009859BA" w:rsidRDefault="003764A8" w:rsidP="009859BA">
      <w:pPr>
        <w:pStyle w:val="Default"/>
        <w:rPr>
          <w:rFonts w:asciiTheme="minorHAnsi" w:hAnsiTheme="minorHAnsi"/>
          <w:sz w:val="22"/>
          <w:szCs w:val="22"/>
        </w:rPr>
      </w:pPr>
      <w:r w:rsidRPr="003764A8">
        <w:rPr>
          <w:rFonts w:asciiTheme="minorHAnsi" w:hAnsiTheme="minorHAnsi"/>
          <w:sz w:val="22"/>
          <w:szCs w:val="22"/>
        </w:rPr>
        <w:t>Learning, teaching and a range of</w:t>
      </w:r>
      <w:r w:rsidR="009859BA">
        <w:rPr>
          <w:rFonts w:asciiTheme="minorHAnsi" w:hAnsiTheme="minorHAnsi"/>
          <w:sz w:val="22"/>
          <w:szCs w:val="22"/>
        </w:rPr>
        <w:t xml:space="preserve"> </w:t>
      </w:r>
      <w:r w:rsidRPr="003764A8">
        <w:rPr>
          <w:rFonts w:asciiTheme="minorHAnsi" w:hAnsiTheme="minorHAnsi"/>
          <w:sz w:val="22"/>
          <w:szCs w:val="22"/>
        </w:rPr>
        <w:t xml:space="preserve">curriculum areas such as RE, languages and PSHE ensure our children </w:t>
      </w:r>
      <w:proofErr w:type="gramStart"/>
      <w:r w:rsidRPr="003764A8">
        <w:rPr>
          <w:rFonts w:asciiTheme="minorHAnsi" w:hAnsiTheme="minorHAnsi"/>
          <w:sz w:val="22"/>
          <w:szCs w:val="22"/>
        </w:rPr>
        <w:t>have an understanding of</w:t>
      </w:r>
      <w:proofErr w:type="gramEnd"/>
      <w:r w:rsidRPr="003764A8">
        <w:rPr>
          <w:rFonts w:asciiTheme="minorHAnsi" w:hAnsiTheme="minorHAnsi"/>
          <w:sz w:val="22"/>
          <w:szCs w:val="22"/>
        </w:rPr>
        <w:t xml:space="preserve"> community diversity and prepare them for a changing society. At our school there are many opportunities for children to learn shared values and have a wide sense of community in their immediate surroundings and those of the UK and globally: </w:t>
      </w:r>
    </w:p>
    <w:p w14:paraId="2DBFE673" w14:textId="77777777"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t>School Council</w:t>
      </w:r>
    </w:p>
    <w:p w14:paraId="709D91CF" w14:textId="3E71E0C0"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t xml:space="preserve">Special events including Black History Day, e-Twinning, </w:t>
      </w:r>
      <w:r w:rsidR="009859BA">
        <w:rPr>
          <w:rFonts w:asciiTheme="minorHAnsi" w:hAnsiTheme="minorHAnsi"/>
          <w:sz w:val="22"/>
          <w:szCs w:val="22"/>
        </w:rPr>
        <w:t xml:space="preserve">School Council </w:t>
      </w:r>
      <w:r w:rsidRPr="003764A8">
        <w:rPr>
          <w:rFonts w:asciiTheme="minorHAnsi" w:hAnsiTheme="minorHAnsi"/>
          <w:sz w:val="22"/>
          <w:szCs w:val="22"/>
        </w:rPr>
        <w:t>p</w:t>
      </w:r>
      <w:r w:rsidR="009859BA">
        <w:rPr>
          <w:rFonts w:asciiTheme="minorHAnsi" w:hAnsiTheme="minorHAnsi"/>
          <w:sz w:val="22"/>
          <w:szCs w:val="22"/>
        </w:rPr>
        <w:t>rojects</w:t>
      </w:r>
      <w:r w:rsidRPr="003764A8">
        <w:rPr>
          <w:rFonts w:asciiTheme="minorHAnsi" w:hAnsiTheme="minorHAnsi"/>
          <w:sz w:val="22"/>
          <w:szCs w:val="22"/>
        </w:rPr>
        <w:t xml:space="preserve"> with </w:t>
      </w:r>
      <w:r w:rsidR="009859BA">
        <w:rPr>
          <w:rFonts w:asciiTheme="minorHAnsi" w:hAnsiTheme="minorHAnsi"/>
          <w:sz w:val="22"/>
          <w:szCs w:val="22"/>
        </w:rPr>
        <w:t>UK &amp; European</w:t>
      </w:r>
      <w:r w:rsidRPr="003764A8">
        <w:rPr>
          <w:rFonts w:asciiTheme="minorHAnsi" w:hAnsiTheme="minorHAnsi"/>
          <w:sz w:val="22"/>
          <w:szCs w:val="22"/>
        </w:rPr>
        <w:t xml:space="preserve"> schools, ‘</w:t>
      </w:r>
      <w:r w:rsidR="009859BA">
        <w:rPr>
          <w:rFonts w:asciiTheme="minorHAnsi" w:hAnsiTheme="minorHAnsi"/>
          <w:sz w:val="22"/>
          <w:szCs w:val="22"/>
        </w:rPr>
        <w:t>house</w:t>
      </w:r>
      <w:r w:rsidRPr="003764A8">
        <w:rPr>
          <w:rFonts w:asciiTheme="minorHAnsi" w:hAnsiTheme="minorHAnsi"/>
          <w:sz w:val="22"/>
          <w:szCs w:val="22"/>
        </w:rPr>
        <w:t>’ days.</w:t>
      </w:r>
    </w:p>
    <w:p w14:paraId="680BBE75" w14:textId="77777777"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lastRenderedPageBreak/>
        <w:t>Special assemblies celebrating special festivals and events</w:t>
      </w:r>
    </w:p>
    <w:p w14:paraId="05234048" w14:textId="77777777"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t>Charity events</w:t>
      </w:r>
    </w:p>
    <w:p w14:paraId="1015C568" w14:textId="77777777"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t xml:space="preserve">The curriculum </w:t>
      </w:r>
    </w:p>
    <w:p w14:paraId="662D0596" w14:textId="77777777"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t>Visits from members of different communities, faiths and cultures</w:t>
      </w:r>
    </w:p>
    <w:p w14:paraId="6B7BA57B" w14:textId="77777777" w:rsidR="009859BA" w:rsidRDefault="003764A8" w:rsidP="009859BA">
      <w:pPr>
        <w:pStyle w:val="Default"/>
        <w:numPr>
          <w:ilvl w:val="0"/>
          <w:numId w:val="16"/>
        </w:numPr>
        <w:rPr>
          <w:rFonts w:asciiTheme="minorHAnsi" w:hAnsiTheme="minorHAnsi"/>
          <w:sz w:val="22"/>
          <w:szCs w:val="22"/>
        </w:rPr>
      </w:pPr>
      <w:r w:rsidRPr="003764A8">
        <w:rPr>
          <w:rFonts w:asciiTheme="minorHAnsi" w:hAnsiTheme="minorHAnsi"/>
          <w:sz w:val="22"/>
          <w:szCs w:val="22"/>
        </w:rPr>
        <w:t xml:space="preserve">Visits to places of worship </w:t>
      </w:r>
    </w:p>
    <w:p w14:paraId="666C0973" w14:textId="77777777" w:rsidR="009859BA" w:rsidRDefault="009859BA" w:rsidP="009859BA">
      <w:pPr>
        <w:pStyle w:val="Default"/>
        <w:ind w:left="360"/>
        <w:rPr>
          <w:rFonts w:asciiTheme="minorHAnsi" w:hAnsiTheme="minorHAnsi"/>
          <w:sz w:val="22"/>
          <w:szCs w:val="22"/>
        </w:rPr>
      </w:pPr>
    </w:p>
    <w:p w14:paraId="552328EF" w14:textId="77777777" w:rsidR="009859BA" w:rsidRPr="009859BA" w:rsidRDefault="003764A8" w:rsidP="009859BA">
      <w:pPr>
        <w:pStyle w:val="Default"/>
        <w:rPr>
          <w:rFonts w:asciiTheme="minorHAnsi" w:hAnsiTheme="minorHAnsi"/>
          <w:b/>
          <w:sz w:val="22"/>
          <w:szCs w:val="22"/>
        </w:rPr>
      </w:pPr>
      <w:r w:rsidRPr="009859BA">
        <w:rPr>
          <w:rFonts w:asciiTheme="minorHAnsi" w:hAnsiTheme="minorHAnsi"/>
          <w:b/>
          <w:sz w:val="22"/>
          <w:szCs w:val="22"/>
        </w:rPr>
        <w:t xml:space="preserve">6. Equity and Excellence </w:t>
      </w:r>
    </w:p>
    <w:p w14:paraId="565CD216" w14:textId="59B37883" w:rsidR="001870C2" w:rsidRPr="003764A8" w:rsidRDefault="003764A8" w:rsidP="009859BA">
      <w:pPr>
        <w:pStyle w:val="Default"/>
        <w:rPr>
          <w:rFonts w:asciiTheme="minorHAnsi" w:hAnsiTheme="minorHAnsi"/>
          <w:sz w:val="22"/>
          <w:szCs w:val="22"/>
        </w:rPr>
      </w:pPr>
      <w:r w:rsidRPr="003764A8">
        <w:rPr>
          <w:rFonts w:asciiTheme="minorHAnsi" w:hAnsiTheme="minorHAnsi"/>
          <w:sz w:val="22"/>
          <w:szCs w:val="22"/>
        </w:rPr>
        <w:t xml:space="preserve">Our school has a determined focus on securing high standards of achievement for all pupils from all ethnic backgrounds, and of different socio-economic statuses, abilities and interests ensuring that pupils including those with EAL are treated with respect and supported to achieve their full potential. Progress is evaluated by analysing assessment data to keep track of the performance of different groups and tackling underperformance of any </w:t>
      </w:r>
      <w:proofErr w:type="gramStart"/>
      <w:r w:rsidRPr="003764A8">
        <w:rPr>
          <w:rFonts w:asciiTheme="minorHAnsi" w:hAnsiTheme="minorHAnsi"/>
          <w:sz w:val="22"/>
          <w:szCs w:val="22"/>
        </w:rPr>
        <w:t>particular group</w:t>
      </w:r>
      <w:proofErr w:type="gramEnd"/>
      <w:r w:rsidRPr="003764A8">
        <w:rPr>
          <w:rFonts w:asciiTheme="minorHAnsi" w:hAnsiTheme="minorHAnsi"/>
          <w:sz w:val="22"/>
          <w:szCs w:val="22"/>
        </w:rPr>
        <w:t>. We have effective approaches to deal with incidents of prejudice, discrimination, bullying and harassment (please see Equalities Statement, Anti-bullying Policy and Behaviour Policy).</w:t>
      </w:r>
    </w:p>
    <w:p w14:paraId="24B87205" w14:textId="52FAF2DF" w:rsidR="003764A8" w:rsidRPr="003764A8" w:rsidRDefault="003764A8" w:rsidP="001870C2">
      <w:pPr>
        <w:spacing w:after="0" w:line="259" w:lineRule="auto"/>
        <w:ind w:left="0" w:firstLine="0"/>
        <w:jc w:val="both"/>
        <w:rPr>
          <w:rFonts w:asciiTheme="minorHAnsi" w:hAnsiTheme="minorHAnsi"/>
          <w:sz w:val="22"/>
        </w:rPr>
      </w:pPr>
    </w:p>
    <w:p w14:paraId="004432AD" w14:textId="40E62F84" w:rsidR="003764A8" w:rsidRDefault="003764A8" w:rsidP="003764A8">
      <w:pPr>
        <w:spacing w:after="0" w:line="259" w:lineRule="auto"/>
        <w:ind w:left="0" w:firstLine="0"/>
        <w:rPr>
          <w:rFonts w:asciiTheme="minorHAnsi" w:hAnsiTheme="minorHAnsi"/>
          <w:sz w:val="22"/>
        </w:rPr>
      </w:pPr>
      <w:r w:rsidRPr="003764A8">
        <w:rPr>
          <w:rFonts w:asciiTheme="minorHAnsi" w:hAnsiTheme="minorHAnsi"/>
          <w:sz w:val="22"/>
        </w:rPr>
        <w:t>7</w:t>
      </w:r>
      <w:r w:rsidRPr="003764A8">
        <w:rPr>
          <w:rFonts w:asciiTheme="minorHAnsi" w:hAnsiTheme="minorHAnsi"/>
          <w:b/>
          <w:sz w:val="22"/>
        </w:rPr>
        <w:t>. Evaluation and Planning</w:t>
      </w:r>
      <w:r w:rsidRPr="003764A8">
        <w:rPr>
          <w:rFonts w:asciiTheme="minorHAnsi" w:hAnsiTheme="minorHAnsi"/>
          <w:sz w:val="22"/>
        </w:rPr>
        <w:t xml:space="preserve"> </w:t>
      </w:r>
      <w:r>
        <w:rPr>
          <w:rFonts w:asciiTheme="minorHAnsi" w:hAnsiTheme="minorHAnsi"/>
          <w:sz w:val="22"/>
        </w:rPr>
        <w:br/>
      </w:r>
      <w:r w:rsidRPr="003764A8">
        <w:rPr>
          <w:rFonts w:asciiTheme="minorHAnsi" w:hAnsiTheme="minorHAnsi"/>
          <w:sz w:val="22"/>
        </w:rPr>
        <w:t xml:space="preserve">The impact that the school is having in implementing community cohesion will be monitored in the following ways: </w:t>
      </w:r>
      <w:r>
        <w:rPr>
          <w:rFonts w:asciiTheme="minorHAnsi" w:hAnsiTheme="minorHAnsi"/>
          <w:sz w:val="22"/>
        </w:rPr>
        <w:br/>
      </w:r>
      <w:r w:rsidRPr="003764A8">
        <w:rPr>
          <w:rFonts w:asciiTheme="minorHAnsi" w:hAnsiTheme="minorHAnsi"/>
          <w:sz w:val="22"/>
        </w:rPr>
        <w:sym w:font="Symbol" w:char="F0B7"/>
      </w:r>
      <w:r w:rsidRPr="003764A8">
        <w:rPr>
          <w:rFonts w:asciiTheme="minorHAnsi" w:hAnsiTheme="minorHAnsi"/>
          <w:sz w:val="22"/>
        </w:rPr>
        <w:t xml:space="preserve"> Tracking / analysing school data </w:t>
      </w:r>
      <w:r>
        <w:rPr>
          <w:rFonts w:asciiTheme="minorHAnsi" w:hAnsiTheme="minorHAnsi"/>
          <w:sz w:val="22"/>
        </w:rPr>
        <w:br/>
      </w:r>
      <w:r w:rsidRPr="003764A8">
        <w:rPr>
          <w:rFonts w:asciiTheme="minorHAnsi" w:hAnsiTheme="minorHAnsi"/>
          <w:sz w:val="22"/>
        </w:rPr>
        <w:sym w:font="Symbol" w:char="F0B7"/>
      </w:r>
      <w:r w:rsidRPr="003764A8">
        <w:rPr>
          <w:rFonts w:asciiTheme="minorHAnsi" w:hAnsiTheme="minorHAnsi"/>
          <w:sz w:val="22"/>
        </w:rPr>
        <w:t xml:space="preserve"> Pupil / parent surveys </w:t>
      </w:r>
      <w:r>
        <w:rPr>
          <w:rFonts w:asciiTheme="minorHAnsi" w:hAnsiTheme="minorHAnsi"/>
          <w:sz w:val="22"/>
        </w:rPr>
        <w:br/>
      </w:r>
      <w:r w:rsidRPr="003764A8">
        <w:rPr>
          <w:rFonts w:asciiTheme="minorHAnsi" w:hAnsiTheme="minorHAnsi"/>
          <w:sz w:val="22"/>
        </w:rPr>
        <w:sym w:font="Symbol" w:char="F0B7"/>
      </w:r>
      <w:r w:rsidRPr="003764A8">
        <w:rPr>
          <w:rFonts w:asciiTheme="minorHAnsi" w:hAnsiTheme="minorHAnsi"/>
          <w:sz w:val="22"/>
        </w:rPr>
        <w:t xml:space="preserve"> Pupil perceptions </w:t>
      </w:r>
      <w:r>
        <w:rPr>
          <w:rFonts w:asciiTheme="minorHAnsi" w:hAnsiTheme="minorHAnsi"/>
          <w:sz w:val="22"/>
        </w:rPr>
        <w:br/>
      </w:r>
      <w:r w:rsidRPr="003764A8">
        <w:rPr>
          <w:rFonts w:asciiTheme="minorHAnsi" w:hAnsiTheme="minorHAnsi"/>
          <w:sz w:val="22"/>
        </w:rPr>
        <w:sym w:font="Symbol" w:char="F0B7"/>
      </w:r>
      <w:r w:rsidRPr="003764A8">
        <w:rPr>
          <w:rFonts w:asciiTheme="minorHAnsi" w:hAnsiTheme="minorHAnsi"/>
          <w:sz w:val="22"/>
        </w:rPr>
        <w:t xml:space="preserve"> Stakeholders views </w:t>
      </w:r>
      <w:r>
        <w:rPr>
          <w:rFonts w:asciiTheme="minorHAnsi" w:hAnsiTheme="minorHAnsi"/>
          <w:sz w:val="22"/>
        </w:rPr>
        <w:br/>
      </w:r>
      <w:r>
        <w:rPr>
          <w:rFonts w:asciiTheme="minorHAnsi" w:hAnsiTheme="minorHAnsi"/>
          <w:sz w:val="22"/>
        </w:rPr>
        <w:br/>
      </w:r>
      <w:r w:rsidRPr="003764A8">
        <w:rPr>
          <w:rFonts w:asciiTheme="minorHAnsi" w:hAnsiTheme="minorHAnsi"/>
          <w:sz w:val="22"/>
        </w:rPr>
        <w:t xml:space="preserve">Wherever appropriate, an action plan will be developed in response to these evaluations. All staff to identify and ensure links are made within other curricular areas; to plan schemes of work which enable pupils to explore diversity and global dimension issues and to maintain links with partner schools. The </w:t>
      </w:r>
      <w:r>
        <w:rPr>
          <w:rFonts w:asciiTheme="minorHAnsi" w:hAnsiTheme="minorHAnsi"/>
          <w:sz w:val="22"/>
        </w:rPr>
        <w:t>school development</w:t>
      </w:r>
      <w:r w:rsidRPr="003764A8">
        <w:rPr>
          <w:rFonts w:asciiTheme="minorHAnsi" w:hAnsiTheme="minorHAnsi"/>
          <w:sz w:val="22"/>
        </w:rPr>
        <w:t xml:space="preserve"> plan</w:t>
      </w:r>
      <w:r>
        <w:rPr>
          <w:rFonts w:asciiTheme="minorHAnsi" w:hAnsiTheme="minorHAnsi"/>
          <w:sz w:val="22"/>
        </w:rPr>
        <w:t xml:space="preserve"> and curriculum overview</w:t>
      </w:r>
      <w:r w:rsidRPr="003764A8">
        <w:rPr>
          <w:rFonts w:asciiTheme="minorHAnsi" w:hAnsiTheme="minorHAnsi"/>
          <w:sz w:val="22"/>
        </w:rPr>
        <w:t xml:space="preserve"> will be the responsibility of the Senior Leadership Team and </w:t>
      </w:r>
      <w:proofErr w:type="gramStart"/>
      <w:r w:rsidRPr="003764A8">
        <w:rPr>
          <w:rFonts w:asciiTheme="minorHAnsi" w:hAnsiTheme="minorHAnsi"/>
          <w:sz w:val="22"/>
        </w:rPr>
        <w:t>Governors</w:t>
      </w:r>
      <w:r>
        <w:rPr>
          <w:rFonts w:asciiTheme="minorHAnsi" w:hAnsiTheme="minorHAnsi"/>
          <w:sz w:val="22"/>
        </w:rPr>
        <w:t>,</w:t>
      </w:r>
      <w:r w:rsidRPr="003764A8">
        <w:rPr>
          <w:rFonts w:asciiTheme="minorHAnsi" w:hAnsiTheme="minorHAnsi"/>
          <w:sz w:val="22"/>
        </w:rPr>
        <w:t xml:space="preserve"> and</w:t>
      </w:r>
      <w:proofErr w:type="gramEnd"/>
      <w:r w:rsidRPr="003764A8">
        <w:rPr>
          <w:rFonts w:asciiTheme="minorHAnsi" w:hAnsiTheme="minorHAnsi"/>
          <w:sz w:val="22"/>
        </w:rPr>
        <w:t xml:space="preserve"> shared with the school community.</w:t>
      </w:r>
    </w:p>
    <w:p w14:paraId="59B9BADC" w14:textId="454276F1" w:rsidR="009859BA" w:rsidRDefault="009859BA" w:rsidP="003764A8">
      <w:pPr>
        <w:spacing w:after="0" w:line="259" w:lineRule="auto"/>
        <w:ind w:left="0" w:firstLine="0"/>
        <w:rPr>
          <w:rFonts w:asciiTheme="minorHAnsi" w:hAnsiTheme="minorHAnsi"/>
          <w:sz w:val="22"/>
        </w:rPr>
      </w:pPr>
    </w:p>
    <w:p w14:paraId="315875CB" w14:textId="77777777" w:rsidR="009859BA" w:rsidRPr="00443CAD" w:rsidRDefault="009859BA" w:rsidP="009859BA">
      <w:pPr>
        <w:rPr>
          <w:sz w:val="20"/>
          <w:szCs w:val="20"/>
        </w:rPr>
      </w:pPr>
      <w:r>
        <w:rPr>
          <w:sz w:val="20"/>
          <w:szCs w:val="20"/>
        </w:rPr>
        <w:t>Last reviewed: 1.9.19</w:t>
      </w:r>
    </w:p>
    <w:p w14:paraId="29ABB62D" w14:textId="77777777" w:rsidR="009859BA" w:rsidRPr="00443CAD" w:rsidRDefault="009859BA" w:rsidP="009859BA">
      <w:pPr>
        <w:rPr>
          <w:sz w:val="20"/>
          <w:szCs w:val="20"/>
        </w:rPr>
      </w:pPr>
      <w:r w:rsidRPr="00443CAD">
        <w:rPr>
          <w:sz w:val="20"/>
          <w:szCs w:val="20"/>
        </w:rPr>
        <w:t xml:space="preserve">Date of </w:t>
      </w:r>
      <w:r>
        <w:rPr>
          <w:sz w:val="20"/>
          <w:szCs w:val="20"/>
        </w:rPr>
        <w:t>next review: on or before 1.9.20</w:t>
      </w:r>
    </w:p>
    <w:p w14:paraId="21D9E068" w14:textId="77777777" w:rsidR="009859BA" w:rsidRPr="003764A8" w:rsidRDefault="009859BA" w:rsidP="003764A8">
      <w:pPr>
        <w:spacing w:after="0" w:line="259" w:lineRule="auto"/>
        <w:ind w:left="0" w:firstLine="0"/>
        <w:rPr>
          <w:rFonts w:asciiTheme="minorHAnsi" w:hAnsiTheme="minorHAnsi"/>
          <w:sz w:val="22"/>
        </w:rPr>
      </w:pPr>
    </w:p>
    <w:sectPr w:rsidR="009859BA" w:rsidRPr="003764A8">
      <w:footerReference w:type="even" r:id="rId8"/>
      <w:footerReference w:type="default" r:id="rId9"/>
      <w:footerReference w:type="first" r:id="rId10"/>
      <w:pgSz w:w="11909" w:h="16834"/>
      <w:pgMar w:top="768" w:right="723" w:bottom="87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6FA0B" w14:textId="77777777" w:rsidR="00844DA2" w:rsidRDefault="002520A7">
      <w:pPr>
        <w:spacing w:after="0" w:line="240" w:lineRule="auto"/>
      </w:pPr>
      <w:r>
        <w:separator/>
      </w:r>
    </w:p>
  </w:endnote>
  <w:endnote w:type="continuationSeparator" w:id="0">
    <w:p w14:paraId="2DFD6547" w14:textId="77777777" w:rsidR="00844DA2" w:rsidRDefault="0025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10A96" w14:textId="77777777" w:rsidR="00C53E0F" w:rsidRDefault="002520A7">
    <w:pPr>
      <w:spacing w:after="0" w:line="259" w:lineRule="auto"/>
      <w:ind w:left="0" w:right="-4" w:firstLine="0"/>
      <w:jc w:val="right"/>
    </w:pPr>
    <w:r>
      <w:rPr>
        <w:rFonts w:ascii="Verdana" w:eastAsia="Verdana" w:hAnsi="Verdana" w:cs="Verdana"/>
        <w:sz w:val="20"/>
      </w:rPr>
      <w:fldChar w:fldCharType="begin"/>
    </w:r>
    <w:r>
      <w:rPr>
        <w:rFonts w:ascii="Verdana" w:eastAsia="Verdana" w:hAnsi="Verdana" w:cs="Verdana"/>
        <w:sz w:val="20"/>
      </w:rPr>
      <w:instrText xml:space="preserve"> PAGE   \* MERGEFORMAT </w:instrText>
    </w:r>
    <w:r>
      <w:rPr>
        <w:rFonts w:ascii="Verdana" w:eastAsia="Verdana" w:hAnsi="Verdana" w:cs="Verdana"/>
        <w:sz w:val="20"/>
      </w:rPr>
      <w:fldChar w:fldCharType="separate"/>
    </w:r>
    <w:r>
      <w:rPr>
        <w:rFonts w:ascii="Verdana" w:eastAsia="Verdana" w:hAnsi="Verdana" w:cs="Verdana"/>
        <w:sz w:val="20"/>
      </w:rPr>
      <w:t>1</w:t>
    </w:r>
    <w:r>
      <w:rPr>
        <w:rFonts w:ascii="Verdana" w:eastAsia="Verdana" w:hAnsi="Verdana" w:cs="Verdana"/>
        <w:sz w:val="20"/>
      </w:rPr>
      <w:fldChar w:fldCharType="end"/>
    </w:r>
  </w:p>
  <w:p w14:paraId="7B1001DE" w14:textId="77777777" w:rsidR="00C53E0F" w:rsidRDefault="002520A7">
    <w:pPr>
      <w:spacing w:after="0" w:line="259" w:lineRule="auto"/>
      <w:ind w:left="0" w:firstLine="0"/>
    </w:pPr>
    <w:r>
      <w:rPr>
        <w:rFonts w:ascii="Verdana" w:eastAsia="Verdana" w:hAnsi="Verdana" w:cs="Verdan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349B9" w14:textId="77777777" w:rsidR="00C53E0F" w:rsidRDefault="002520A7">
    <w:pPr>
      <w:spacing w:after="0" w:line="259" w:lineRule="auto"/>
      <w:ind w:left="0" w:right="-4" w:firstLine="0"/>
      <w:jc w:val="right"/>
    </w:pPr>
    <w:r>
      <w:rPr>
        <w:rFonts w:ascii="Verdana" w:eastAsia="Verdana" w:hAnsi="Verdana" w:cs="Verdana"/>
        <w:sz w:val="20"/>
      </w:rPr>
      <w:fldChar w:fldCharType="begin"/>
    </w:r>
    <w:r>
      <w:rPr>
        <w:rFonts w:ascii="Verdana" w:eastAsia="Verdana" w:hAnsi="Verdana" w:cs="Verdana"/>
        <w:sz w:val="20"/>
      </w:rPr>
      <w:instrText xml:space="preserve"> PAGE   \* MERGEFORMAT </w:instrText>
    </w:r>
    <w:r>
      <w:rPr>
        <w:rFonts w:ascii="Verdana" w:eastAsia="Verdana" w:hAnsi="Verdana" w:cs="Verdana"/>
        <w:sz w:val="20"/>
      </w:rPr>
      <w:fldChar w:fldCharType="separate"/>
    </w:r>
    <w:r>
      <w:rPr>
        <w:rFonts w:ascii="Verdana" w:eastAsia="Verdana" w:hAnsi="Verdana" w:cs="Verdana"/>
        <w:noProof/>
        <w:sz w:val="20"/>
      </w:rPr>
      <w:t>2</w:t>
    </w:r>
    <w:r>
      <w:rPr>
        <w:rFonts w:ascii="Verdana" w:eastAsia="Verdana" w:hAnsi="Verdana" w:cs="Verdana"/>
        <w:sz w:val="20"/>
      </w:rPr>
      <w:fldChar w:fldCharType="end"/>
    </w:r>
  </w:p>
  <w:p w14:paraId="242FFC40" w14:textId="77777777" w:rsidR="00C53E0F" w:rsidRDefault="002520A7">
    <w:pPr>
      <w:spacing w:after="0" w:line="259" w:lineRule="auto"/>
      <w:ind w:left="0" w:firstLine="0"/>
    </w:pPr>
    <w:r>
      <w:rPr>
        <w:rFonts w:ascii="Verdana" w:eastAsia="Verdana" w:hAnsi="Verdana" w:cs="Verdana"/>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0D4DD" w14:textId="77777777" w:rsidR="00C53E0F" w:rsidRDefault="002520A7">
    <w:pPr>
      <w:spacing w:after="0" w:line="259" w:lineRule="auto"/>
      <w:ind w:left="0" w:right="-4" w:firstLine="0"/>
      <w:jc w:val="right"/>
    </w:pPr>
    <w:r>
      <w:rPr>
        <w:rFonts w:ascii="Verdana" w:eastAsia="Verdana" w:hAnsi="Verdana" w:cs="Verdana"/>
        <w:sz w:val="20"/>
      </w:rPr>
      <w:fldChar w:fldCharType="begin"/>
    </w:r>
    <w:r>
      <w:rPr>
        <w:rFonts w:ascii="Verdana" w:eastAsia="Verdana" w:hAnsi="Verdana" w:cs="Verdana"/>
        <w:sz w:val="20"/>
      </w:rPr>
      <w:instrText xml:space="preserve"> PAGE   \* MERGEFORMAT </w:instrText>
    </w:r>
    <w:r>
      <w:rPr>
        <w:rFonts w:ascii="Verdana" w:eastAsia="Verdana" w:hAnsi="Verdana" w:cs="Verdana"/>
        <w:sz w:val="20"/>
      </w:rPr>
      <w:fldChar w:fldCharType="separate"/>
    </w:r>
    <w:r>
      <w:rPr>
        <w:rFonts w:ascii="Verdana" w:eastAsia="Verdana" w:hAnsi="Verdana" w:cs="Verdana"/>
        <w:sz w:val="20"/>
      </w:rPr>
      <w:t>1</w:t>
    </w:r>
    <w:r>
      <w:rPr>
        <w:rFonts w:ascii="Verdana" w:eastAsia="Verdana" w:hAnsi="Verdana" w:cs="Verdana"/>
        <w:sz w:val="20"/>
      </w:rPr>
      <w:fldChar w:fldCharType="end"/>
    </w:r>
  </w:p>
  <w:p w14:paraId="3832D89C" w14:textId="77777777" w:rsidR="00C53E0F" w:rsidRDefault="002520A7">
    <w:pPr>
      <w:spacing w:after="0" w:line="259" w:lineRule="auto"/>
      <w:ind w:left="0" w:firstLine="0"/>
    </w:pPr>
    <w:r>
      <w:rPr>
        <w:rFonts w:ascii="Verdana" w:eastAsia="Verdana" w:hAnsi="Verdana" w:cs="Verdan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BA960" w14:textId="77777777" w:rsidR="00844DA2" w:rsidRDefault="002520A7">
      <w:pPr>
        <w:spacing w:after="0" w:line="240" w:lineRule="auto"/>
      </w:pPr>
      <w:r>
        <w:separator/>
      </w:r>
    </w:p>
  </w:footnote>
  <w:footnote w:type="continuationSeparator" w:id="0">
    <w:p w14:paraId="652DF140" w14:textId="77777777" w:rsidR="00844DA2" w:rsidRDefault="00252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47B7B"/>
    <w:multiLevelType w:val="hybridMultilevel"/>
    <w:tmpl w:val="C01CA820"/>
    <w:lvl w:ilvl="0" w:tplc="5F825C34">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FCAB0CA">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4A03A5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69C373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F2AE4A8">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B6E62F2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0CFEE72A">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E6D88010">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53ECFD5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953C6B"/>
    <w:multiLevelType w:val="hybridMultilevel"/>
    <w:tmpl w:val="49E2B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1E35F7"/>
    <w:multiLevelType w:val="hybridMultilevel"/>
    <w:tmpl w:val="22DA6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1B446E"/>
    <w:multiLevelType w:val="hybridMultilevel"/>
    <w:tmpl w:val="E48C9626"/>
    <w:lvl w:ilvl="0" w:tplc="C53E8A2E">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8FAAF2A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DDEC230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F9A4BE90">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44863CDA">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F80682D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AC2F49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66867DAA">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82463F6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BE91573"/>
    <w:multiLevelType w:val="hybridMultilevel"/>
    <w:tmpl w:val="24AA0CB6"/>
    <w:lvl w:ilvl="0" w:tplc="0F84815C">
      <w:start w:val="15"/>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407AE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A4AE366">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2BAA1D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F24E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FA2CCAA">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6201F18">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F7091F6">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24A9348">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D005D21"/>
    <w:multiLevelType w:val="hybridMultilevel"/>
    <w:tmpl w:val="F138B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886CF5"/>
    <w:multiLevelType w:val="hybridMultilevel"/>
    <w:tmpl w:val="6052AC42"/>
    <w:lvl w:ilvl="0" w:tplc="F4700D1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5CB4BE7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7F02FA6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0386A1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3EA9ECC">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61057CE">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E70FAC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7B25DD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7066E4A">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E816FB6"/>
    <w:multiLevelType w:val="hybridMultilevel"/>
    <w:tmpl w:val="CF00B7FE"/>
    <w:lvl w:ilvl="0" w:tplc="370E662E">
      <w:start w:val="1"/>
      <w:numFmt w:val="bullet"/>
      <w:lvlText w:val="o"/>
      <w:lvlJc w:val="left"/>
      <w:pPr>
        <w:ind w:left="107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4A9E079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4FAC94E">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C3278FC">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C778EFB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30F77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258FB54">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47F2613E">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0AA4873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FA1191A"/>
    <w:multiLevelType w:val="hybridMultilevel"/>
    <w:tmpl w:val="82F45BF6"/>
    <w:lvl w:ilvl="0" w:tplc="7EE0B8A6">
      <w:start w:val="7"/>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6D4C9B6">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0130DB0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526C50F8">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9CE2F5B8">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5728FF10">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FE268EC">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9B1AB2AC">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3B2AF34">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0FA4409"/>
    <w:multiLevelType w:val="hybridMultilevel"/>
    <w:tmpl w:val="AFBC6BD0"/>
    <w:lvl w:ilvl="0" w:tplc="847CE96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94260DE0">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84A117C">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E164204">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768700">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8A568316">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674091B2">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DC28835C">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54C66CE">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C95E36"/>
    <w:multiLevelType w:val="hybridMultilevel"/>
    <w:tmpl w:val="1E285808"/>
    <w:lvl w:ilvl="0" w:tplc="B4D845A4">
      <w:start w:val="20"/>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886FD86">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390521E">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F5238B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57A7214">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CE4CCE">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890AA66">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63AE69C">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B80CB16">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8DB737F"/>
    <w:multiLevelType w:val="hybridMultilevel"/>
    <w:tmpl w:val="47F87524"/>
    <w:lvl w:ilvl="0" w:tplc="425C2FD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6D3E4568">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9388254">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7744F3B8">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13623A4">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A3A69DC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B125486">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066966">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F752B06C">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CFD68CE"/>
    <w:multiLevelType w:val="hybridMultilevel"/>
    <w:tmpl w:val="C54C8008"/>
    <w:lvl w:ilvl="0" w:tplc="2424C72A">
      <w:start w:val="10"/>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BCE09C">
      <w:start w:val="1"/>
      <w:numFmt w:val="bullet"/>
      <w:lvlText w:val="o"/>
      <w:lvlJc w:val="left"/>
      <w:pPr>
        <w:ind w:left="1425"/>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4B7AE75A">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E924DA0">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6FC7B22">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4F2A77A6">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DF0C672">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8B1065F0">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46B29FDE">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E3A0464"/>
    <w:multiLevelType w:val="hybridMultilevel"/>
    <w:tmpl w:val="AD922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CC5EC1"/>
    <w:multiLevelType w:val="hybridMultilevel"/>
    <w:tmpl w:val="C4C8C724"/>
    <w:lvl w:ilvl="0" w:tplc="2E7C97F8">
      <w:start w:val="1"/>
      <w:numFmt w:val="decimal"/>
      <w:lvlText w:val="%1."/>
      <w:lvlJc w:val="left"/>
      <w:pPr>
        <w:ind w:left="7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1" w:tplc="75B64CF0">
      <w:start w:val="1"/>
      <w:numFmt w:val="lowerLetter"/>
      <w:lvlText w:val="%2"/>
      <w:lvlJc w:val="left"/>
      <w:pPr>
        <w:ind w:left="14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2" w:tplc="F86E466E">
      <w:start w:val="1"/>
      <w:numFmt w:val="lowerRoman"/>
      <w:lvlText w:val="%3"/>
      <w:lvlJc w:val="left"/>
      <w:pPr>
        <w:ind w:left="21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3" w:tplc="3F784778">
      <w:start w:val="1"/>
      <w:numFmt w:val="decimal"/>
      <w:lvlText w:val="%4"/>
      <w:lvlJc w:val="left"/>
      <w:pPr>
        <w:ind w:left="28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4" w:tplc="4712CC46">
      <w:start w:val="1"/>
      <w:numFmt w:val="lowerLetter"/>
      <w:lvlText w:val="%5"/>
      <w:lvlJc w:val="left"/>
      <w:pPr>
        <w:ind w:left="360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5" w:tplc="35D0D282">
      <w:start w:val="1"/>
      <w:numFmt w:val="lowerRoman"/>
      <w:lvlText w:val="%6"/>
      <w:lvlJc w:val="left"/>
      <w:pPr>
        <w:ind w:left="432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6" w:tplc="5F8259D6">
      <w:start w:val="1"/>
      <w:numFmt w:val="decimal"/>
      <w:lvlText w:val="%7"/>
      <w:lvlJc w:val="left"/>
      <w:pPr>
        <w:ind w:left="504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7" w:tplc="C96CB5A0">
      <w:start w:val="1"/>
      <w:numFmt w:val="lowerLetter"/>
      <w:lvlText w:val="%8"/>
      <w:lvlJc w:val="left"/>
      <w:pPr>
        <w:ind w:left="576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lvl w:ilvl="8" w:tplc="5BDA10B4">
      <w:start w:val="1"/>
      <w:numFmt w:val="lowerRoman"/>
      <w:lvlText w:val="%9"/>
      <w:lvlJc w:val="left"/>
      <w:pPr>
        <w:ind w:left="6480"/>
      </w:pPr>
      <w:rPr>
        <w:rFonts w:ascii="Calibri" w:eastAsia="Calibri" w:hAnsi="Calibri" w:cs="Calibri"/>
        <w:b w:val="0"/>
        <w:i w:val="0"/>
        <w:strike w:val="0"/>
        <w:dstrike w:val="0"/>
        <w:color w:val="231F20"/>
        <w:sz w:val="24"/>
        <w:szCs w:val="24"/>
        <w:u w:val="none" w:color="000000"/>
        <w:bdr w:val="none" w:sz="0" w:space="0" w:color="auto"/>
        <w:shd w:val="clear" w:color="auto" w:fill="auto"/>
        <w:vertAlign w:val="baseline"/>
      </w:rPr>
    </w:lvl>
  </w:abstractNum>
  <w:abstractNum w:abstractNumId="15" w15:restartNumberingAfterBreak="0">
    <w:nsid w:val="6F6951E4"/>
    <w:multiLevelType w:val="hybridMultilevel"/>
    <w:tmpl w:val="61741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3"/>
  </w:num>
  <w:num w:numId="4">
    <w:abstractNumId w:val="11"/>
  </w:num>
  <w:num w:numId="5">
    <w:abstractNumId w:val="9"/>
  </w:num>
  <w:num w:numId="6">
    <w:abstractNumId w:val="6"/>
  </w:num>
  <w:num w:numId="7">
    <w:abstractNumId w:val="7"/>
  </w:num>
  <w:num w:numId="8">
    <w:abstractNumId w:val="8"/>
  </w:num>
  <w:num w:numId="9">
    <w:abstractNumId w:val="12"/>
  </w:num>
  <w:num w:numId="10">
    <w:abstractNumId w:val="4"/>
  </w:num>
  <w:num w:numId="11">
    <w:abstractNumId w:val="10"/>
  </w:num>
  <w:num w:numId="12">
    <w:abstractNumId w:val="13"/>
  </w:num>
  <w:num w:numId="13">
    <w:abstractNumId w:val="2"/>
  </w:num>
  <w:num w:numId="14">
    <w:abstractNumId w:val="15"/>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E0F"/>
    <w:rsid w:val="001870C2"/>
    <w:rsid w:val="001C29B4"/>
    <w:rsid w:val="002520A7"/>
    <w:rsid w:val="002F5C3B"/>
    <w:rsid w:val="00304A49"/>
    <w:rsid w:val="003764A8"/>
    <w:rsid w:val="00592735"/>
    <w:rsid w:val="005E5714"/>
    <w:rsid w:val="00844DA2"/>
    <w:rsid w:val="008F33DD"/>
    <w:rsid w:val="009859BA"/>
    <w:rsid w:val="00AF19CB"/>
    <w:rsid w:val="00C53E0F"/>
    <w:rsid w:val="00CE54EF"/>
    <w:rsid w:val="00D43C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63FEB"/>
  <w15:docId w15:val="{A0A2B2B0-64A0-43A5-AD90-8EA5276F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5" w:line="250" w:lineRule="auto"/>
      <w:ind w:left="10"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2520A7"/>
    <w:pPr>
      <w:ind w:left="720"/>
      <w:contextualSpacing/>
    </w:pPr>
  </w:style>
  <w:style w:type="paragraph" w:customStyle="1" w:styleId="Default">
    <w:name w:val="Default"/>
    <w:rsid w:val="00D43C7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Pages>
  <Words>816</Words>
  <Characters>4655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 model school policy</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model school policy</dc:title>
  <dc:subject/>
  <dc:creator>Robin  Richardson</dc:creator>
  <cp:keywords/>
  <cp:lastModifiedBy>Sarah</cp:lastModifiedBy>
  <cp:revision>8</cp:revision>
  <dcterms:created xsi:type="dcterms:W3CDTF">2019-08-11T18:21:00Z</dcterms:created>
  <dcterms:modified xsi:type="dcterms:W3CDTF">2019-08-14T07:30:00Z</dcterms:modified>
</cp:coreProperties>
</file>